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DD6" w:rsidRDefault="003C5418">
      <w:pPr>
        <w:autoSpaceDE w:val="0"/>
        <w:autoSpaceDN w:val="0"/>
        <w:adjustRightInd w:val="0"/>
        <w:spacing w:after="0" w:line="240" w:lineRule="auto"/>
        <w:rPr>
          <w:rFonts w:cs="Helvetica-Bold"/>
          <w:b/>
          <w:color w:val="000000"/>
          <w:sz w:val="32"/>
        </w:rPr>
      </w:pPr>
      <w:r>
        <w:rPr>
          <w:rFonts w:cs="Helvetica-Bold"/>
          <w:b/>
          <w:color w:val="000000"/>
          <w:sz w:val="32"/>
        </w:rPr>
        <w:t>Order placement protocol</w:t>
      </w:r>
    </w:p>
    <w:p w:rsidR="00423DD6" w:rsidRDefault="00423DD6">
      <w:pPr>
        <w:autoSpaceDE w:val="0"/>
        <w:autoSpaceDN w:val="0"/>
        <w:adjustRightInd w:val="0"/>
        <w:spacing w:after="0" w:line="240" w:lineRule="auto"/>
        <w:rPr>
          <w:rFonts w:ascii="Helvetica-Bold" w:hAnsi="Helvetica-Bold" w:cs="Helvetica-Bold"/>
          <w:b/>
          <w:color w:val="FFFFFF"/>
          <w:sz w:val="24"/>
        </w:rPr>
      </w:pPr>
    </w:p>
    <w:p w:rsidR="00423DD6" w:rsidRDefault="003C5418">
      <w:pPr>
        <w:pBdr>
          <w:bottom w:val="single" w:sz="4" w:space="1" w:color="auto"/>
        </w:pBdr>
        <w:autoSpaceDE w:val="0"/>
        <w:autoSpaceDN w:val="0"/>
        <w:adjustRightInd w:val="0"/>
        <w:spacing w:after="0" w:line="240" w:lineRule="auto"/>
        <w:rPr>
          <w:rFonts w:cs="Helvetica-Bold"/>
          <w:color w:val="000000"/>
        </w:rPr>
      </w:pPr>
      <w:r>
        <w:rPr>
          <w:rFonts w:cs="Helvetica-Bold"/>
          <w:color w:val="000000"/>
        </w:rPr>
        <w:t>Date:</w:t>
      </w:r>
      <w:r>
        <w:rPr>
          <w:rFonts w:cs="Helvetica-Bold"/>
          <w:color w:val="000000"/>
        </w:rPr>
        <w:tab/>
      </w:r>
      <w:r>
        <w:rPr>
          <w:rFonts w:cs="Helvetica-Bold"/>
          <w:color w:val="000000"/>
        </w:rPr>
        <w:tab/>
      </w:r>
      <w:r>
        <w:rPr>
          <w:rFonts w:cs="Helvetica-Bold"/>
          <w:color w:val="000000"/>
        </w:rPr>
        <w:tab/>
      </w:r>
      <w:r>
        <w:rPr>
          <w:rFonts w:cs="Helvetica-Bold"/>
          <w:color w:val="000000"/>
        </w:rPr>
        <w:tab/>
        <w:t>Consultant:</w:t>
      </w:r>
    </w:p>
    <w:p w:rsidR="00423DD6" w:rsidRDefault="00423DD6">
      <w:pPr>
        <w:autoSpaceDE w:val="0"/>
        <w:autoSpaceDN w:val="0"/>
        <w:adjustRightInd w:val="0"/>
        <w:spacing w:after="0" w:line="240" w:lineRule="auto"/>
        <w:rPr>
          <w:rFonts w:cs="Helvetica-Bold"/>
          <w:b/>
          <w:color w:val="000000"/>
          <w:sz w:val="24"/>
        </w:rPr>
      </w:pPr>
    </w:p>
    <w:p w:rsidR="00423DD6" w:rsidRDefault="003C5418">
      <w:pPr>
        <w:autoSpaceDE w:val="0"/>
        <w:autoSpaceDN w:val="0"/>
        <w:adjustRightInd w:val="0"/>
        <w:spacing w:after="0"/>
        <w:rPr>
          <w:rFonts w:cs="Helvetica-Bold"/>
          <w:b/>
          <w:color w:val="FFFFFF"/>
          <w:sz w:val="24"/>
        </w:rPr>
      </w:pPr>
      <w:r>
        <w:rPr>
          <w:rFonts w:cs="Helvetica-Bold"/>
          <w:b/>
          <w:color w:val="000000"/>
          <w:sz w:val="24"/>
        </w:rPr>
        <w:t>Personal data of the client</w:t>
      </w:r>
    </w:p>
    <w:tbl>
      <w:tblPr>
        <w:tblStyle w:val="Grigliatabella"/>
        <w:tblW w:w="10598" w:type="dxa"/>
        <w:tblLook w:val="04A0" w:firstRow="1" w:lastRow="0" w:firstColumn="1" w:lastColumn="0" w:noHBand="0" w:noVBand="1"/>
      </w:tblPr>
      <w:tblGrid>
        <w:gridCol w:w="5303"/>
        <w:gridCol w:w="5295"/>
      </w:tblGrid>
      <w:tr w:rsidR="00423DD6">
        <w:tc>
          <w:tcPr>
            <w:tcW w:w="5303" w:type="dxa"/>
          </w:tcPr>
          <w:p w:rsidR="00423DD6" w:rsidRDefault="003C5418">
            <w:pPr>
              <w:autoSpaceDE w:val="0"/>
              <w:autoSpaceDN w:val="0"/>
              <w:adjustRightInd w:val="0"/>
              <w:rPr>
                <w:rFonts w:cs="Helvetica-Bold"/>
                <w:b/>
                <w:color w:val="000000"/>
              </w:rPr>
            </w:pPr>
            <w:r>
              <w:rPr>
                <w:rFonts w:cs="Helvetica-Bold"/>
                <w:b/>
                <w:color w:val="000000"/>
              </w:rPr>
              <w:t>Name:</w:t>
            </w:r>
          </w:p>
        </w:tc>
        <w:tc>
          <w:tcPr>
            <w:tcW w:w="5295" w:type="dxa"/>
          </w:tcPr>
          <w:p w:rsidR="00423DD6" w:rsidRDefault="003C5418">
            <w:pPr>
              <w:autoSpaceDE w:val="0"/>
              <w:autoSpaceDN w:val="0"/>
              <w:adjustRightInd w:val="0"/>
              <w:rPr>
                <w:rFonts w:cs="Helvetica-Bold"/>
                <w:b/>
                <w:color w:val="000000"/>
              </w:rPr>
            </w:pPr>
            <w:r>
              <w:rPr>
                <w:rFonts w:cs="Helvetica-Bold"/>
                <w:b/>
                <w:color w:val="000000"/>
              </w:rPr>
              <w:t>Company registration no.:</w:t>
            </w:r>
          </w:p>
        </w:tc>
      </w:tr>
      <w:tr w:rsidR="00423DD6">
        <w:tc>
          <w:tcPr>
            <w:tcW w:w="5303" w:type="dxa"/>
          </w:tcPr>
          <w:p w:rsidR="00423DD6" w:rsidRDefault="003C5418">
            <w:pPr>
              <w:autoSpaceDE w:val="0"/>
              <w:autoSpaceDN w:val="0"/>
              <w:adjustRightInd w:val="0"/>
              <w:rPr>
                <w:rFonts w:cs="Helvetica-Bold"/>
                <w:b/>
                <w:color w:val="000000"/>
              </w:rPr>
            </w:pPr>
            <w:r>
              <w:rPr>
                <w:rFonts w:cs="Helvetica-Bold"/>
                <w:b/>
                <w:color w:val="000000"/>
              </w:rPr>
              <w:t>Address:</w:t>
            </w:r>
          </w:p>
        </w:tc>
        <w:tc>
          <w:tcPr>
            <w:tcW w:w="5295" w:type="dxa"/>
          </w:tcPr>
          <w:p w:rsidR="00423DD6" w:rsidRDefault="003C5418">
            <w:pPr>
              <w:autoSpaceDE w:val="0"/>
              <w:autoSpaceDN w:val="0"/>
              <w:adjustRightInd w:val="0"/>
              <w:rPr>
                <w:rFonts w:cs="Helvetica-Bold"/>
                <w:b/>
                <w:color w:val="000000"/>
              </w:rPr>
            </w:pPr>
            <w:r>
              <w:rPr>
                <w:rFonts w:cs="Helvetica-Bold"/>
                <w:b/>
                <w:color w:val="000000"/>
              </w:rPr>
              <w:t>VAT number:</w:t>
            </w:r>
          </w:p>
        </w:tc>
      </w:tr>
      <w:tr w:rsidR="00423DD6">
        <w:tc>
          <w:tcPr>
            <w:tcW w:w="5303" w:type="dxa"/>
          </w:tcPr>
          <w:p w:rsidR="00423DD6" w:rsidRDefault="003C5418">
            <w:pPr>
              <w:autoSpaceDE w:val="0"/>
              <w:autoSpaceDN w:val="0"/>
              <w:adjustRightInd w:val="0"/>
              <w:rPr>
                <w:rFonts w:cs="Helvetica-Bold"/>
                <w:b/>
                <w:color w:val="000000"/>
              </w:rPr>
            </w:pPr>
            <w:r>
              <w:rPr>
                <w:rFonts w:cs="Helvetica-Bold"/>
                <w:b/>
                <w:color w:val="000000"/>
              </w:rPr>
              <w:t>Telephone number:</w:t>
            </w:r>
          </w:p>
        </w:tc>
        <w:tc>
          <w:tcPr>
            <w:tcW w:w="5295" w:type="dxa"/>
          </w:tcPr>
          <w:p w:rsidR="00423DD6" w:rsidRDefault="003C5418">
            <w:pPr>
              <w:autoSpaceDE w:val="0"/>
              <w:autoSpaceDN w:val="0"/>
              <w:adjustRightInd w:val="0"/>
              <w:rPr>
                <w:rFonts w:cs="Helvetica-Bold"/>
                <w:b/>
                <w:color w:val="000000"/>
              </w:rPr>
            </w:pPr>
            <w:r>
              <w:rPr>
                <w:rFonts w:cs="Helvetica-Bold"/>
                <w:b/>
                <w:color w:val="000000"/>
              </w:rPr>
              <w:t>DOB / Social Insurance no.:</w:t>
            </w:r>
          </w:p>
        </w:tc>
      </w:tr>
      <w:tr w:rsidR="00423DD6">
        <w:tc>
          <w:tcPr>
            <w:tcW w:w="5303" w:type="dxa"/>
          </w:tcPr>
          <w:p w:rsidR="00423DD6" w:rsidRDefault="003C5418">
            <w:pPr>
              <w:autoSpaceDE w:val="0"/>
              <w:autoSpaceDN w:val="0"/>
              <w:adjustRightInd w:val="0"/>
              <w:rPr>
                <w:rFonts w:cs="Helvetica-Bold"/>
                <w:b/>
                <w:color w:val="000000"/>
              </w:rPr>
            </w:pPr>
            <w:r>
              <w:rPr>
                <w:rFonts w:cs="Helvetica-Bold"/>
                <w:b/>
                <w:color w:val="000000"/>
              </w:rPr>
              <w:t>Email:</w:t>
            </w:r>
          </w:p>
        </w:tc>
        <w:tc>
          <w:tcPr>
            <w:tcW w:w="5295" w:type="dxa"/>
          </w:tcPr>
          <w:p w:rsidR="00423DD6" w:rsidRDefault="003C5418">
            <w:pPr>
              <w:autoSpaceDE w:val="0"/>
              <w:autoSpaceDN w:val="0"/>
              <w:adjustRightInd w:val="0"/>
              <w:rPr>
                <w:rFonts w:cs="Helvetica-Bold"/>
                <w:b/>
                <w:color w:val="000000"/>
              </w:rPr>
            </w:pPr>
            <w:r>
              <w:rPr>
                <w:rFonts w:cs="Helvetica-Bold"/>
                <w:b/>
                <w:color w:val="000000"/>
              </w:rPr>
              <w:t>Miscellaneous:</w:t>
            </w:r>
          </w:p>
        </w:tc>
      </w:tr>
      <w:tr w:rsidR="00423DD6">
        <w:tc>
          <w:tcPr>
            <w:tcW w:w="5303" w:type="dxa"/>
          </w:tcPr>
          <w:p w:rsidR="00423DD6" w:rsidRDefault="003C5418">
            <w:pPr>
              <w:autoSpaceDE w:val="0"/>
              <w:autoSpaceDN w:val="0"/>
              <w:adjustRightInd w:val="0"/>
              <w:rPr>
                <w:rFonts w:cs="Helvetica-Bold"/>
                <w:b/>
                <w:color w:val="000000"/>
              </w:rPr>
            </w:pPr>
            <w:r>
              <w:rPr>
                <w:rFonts w:cs="Helvetica-Bold"/>
                <w:b/>
                <w:color w:val="000000"/>
              </w:rPr>
              <w:t xml:space="preserve">Customer is: </w:t>
            </w:r>
            <w:r>
              <w:rPr>
                <w:rFonts w:cs="Arial-BoldMT"/>
                <w:b/>
              </w:rPr>
              <w:sym w:font="Wingdings" w:char="F0A8"/>
            </w:r>
            <w:r>
              <w:rPr>
                <w:rFonts w:cs="Arial-BoldMT"/>
                <w:b/>
              </w:rPr>
              <w:t xml:space="preserve"> </w:t>
            </w:r>
            <w:r>
              <w:rPr>
                <w:rFonts w:cs="ArialMT"/>
                <w:color w:val="000000"/>
              </w:rPr>
              <w:t xml:space="preserve">Consumer </w:t>
            </w:r>
            <w:r>
              <w:rPr>
                <w:rFonts w:cs="Arial-BoldMT"/>
                <w:b/>
              </w:rPr>
              <w:sym w:font="Wingdings" w:char="F0A8"/>
            </w:r>
            <w:r>
              <w:rPr>
                <w:rFonts w:cs="Arial-BoldMT"/>
                <w:b/>
              </w:rPr>
              <w:t xml:space="preserve"> </w:t>
            </w:r>
            <w:r>
              <w:rPr>
                <w:rFonts w:cs="ArialMT"/>
                <w:color w:val="000000"/>
              </w:rPr>
              <w:t xml:space="preserve">Entrepreneur </w:t>
            </w:r>
            <w:r>
              <w:rPr>
                <w:rFonts w:cs="Arial-BoldMT"/>
                <w:b/>
              </w:rPr>
              <w:sym w:font="Wingdings" w:char="F0A8"/>
            </w:r>
            <w:r>
              <w:rPr>
                <w:rFonts w:cs="ArialMT"/>
                <w:color w:val="000000"/>
              </w:rPr>
              <w:t>Freelancer</w:t>
            </w:r>
          </w:p>
        </w:tc>
        <w:tc>
          <w:tcPr>
            <w:tcW w:w="5295" w:type="dxa"/>
          </w:tcPr>
          <w:p w:rsidR="00423DD6" w:rsidRDefault="003C5418">
            <w:pPr>
              <w:autoSpaceDE w:val="0"/>
              <w:autoSpaceDN w:val="0"/>
              <w:adjustRightInd w:val="0"/>
              <w:rPr>
                <w:rFonts w:cs="Helvetica-Bold"/>
                <w:b/>
                <w:color w:val="000000"/>
              </w:rPr>
            </w:pPr>
            <w:r>
              <w:rPr>
                <w:rFonts w:cs="Helvetica-Bold"/>
                <w:b/>
                <w:color w:val="000000"/>
              </w:rPr>
              <w:t xml:space="preserve">First contact through: </w:t>
            </w:r>
            <w:r>
              <w:rPr>
                <w:rFonts w:cs="Arial-BoldMT"/>
                <w:b/>
              </w:rPr>
              <w:sym w:font="Wingdings" w:char="F0A8"/>
            </w:r>
            <w:r>
              <w:rPr>
                <w:rFonts w:cs="Arial-BoldMT"/>
                <w:b/>
              </w:rPr>
              <w:t xml:space="preserve"> </w:t>
            </w:r>
            <w:r>
              <w:rPr>
                <w:rFonts w:cs="ArialMT"/>
                <w:color w:val="000000"/>
              </w:rPr>
              <w:t xml:space="preserve">Customer </w:t>
            </w:r>
            <w:r>
              <w:rPr>
                <w:rFonts w:cs="Arial-BoldMT"/>
                <w:b/>
              </w:rPr>
              <w:sym w:font="Wingdings" w:char="F0A8"/>
            </w:r>
            <w:r>
              <w:rPr>
                <w:rFonts w:cs="Helvetica-Oblique"/>
                <w:i/>
                <w:iCs/>
                <w:color w:val="000000"/>
              </w:rPr>
              <w:t xml:space="preserve"> </w:t>
            </w:r>
            <w:r>
              <w:rPr>
                <w:rFonts w:cs="Helvetica-Oblique"/>
                <w:iCs/>
                <w:color w:val="000000"/>
              </w:rPr>
              <w:t>Broker</w:t>
            </w:r>
          </w:p>
        </w:tc>
      </w:tr>
    </w:tbl>
    <w:p w:rsidR="00423DD6" w:rsidRDefault="00423DD6">
      <w:pPr>
        <w:autoSpaceDE w:val="0"/>
        <w:autoSpaceDN w:val="0"/>
        <w:adjustRightInd w:val="0"/>
        <w:spacing w:after="0" w:line="240" w:lineRule="auto"/>
        <w:rPr>
          <w:rFonts w:cs="Helvetica-Bold"/>
          <w:b/>
          <w:color w:val="000000"/>
          <w:sz w:val="10"/>
        </w:rPr>
      </w:pPr>
    </w:p>
    <w:p w:rsidR="00423DD6" w:rsidRDefault="003C5418">
      <w:pPr>
        <w:autoSpaceDE w:val="0"/>
        <w:autoSpaceDN w:val="0"/>
        <w:adjustRightInd w:val="0"/>
        <w:spacing w:after="0" w:line="240" w:lineRule="auto"/>
        <w:rPr>
          <w:rFonts w:cs="Helvetica-Bold"/>
          <w:b/>
          <w:color w:val="FFFFFF"/>
          <w:sz w:val="24"/>
        </w:rPr>
      </w:pPr>
      <w:r>
        <w:rPr>
          <w:rFonts w:cs="Helvetica-Bold"/>
          <w:b/>
          <w:color w:val="000000"/>
          <w:sz w:val="24"/>
        </w:rPr>
        <w:t>Type of order</w:t>
      </w:r>
    </w:p>
    <w:tbl>
      <w:tblPr>
        <w:tblStyle w:val="Grigliatabella"/>
        <w:tblpPr w:leftFromText="141" w:rightFromText="141" w:vertAnchor="text" w:horzAnchor="margin" w:tblpY="75"/>
        <w:tblW w:w="10614" w:type="dxa"/>
        <w:tblLook w:val="04A0" w:firstRow="1" w:lastRow="0" w:firstColumn="1" w:lastColumn="0" w:noHBand="0" w:noVBand="1"/>
      </w:tblPr>
      <w:tblGrid>
        <w:gridCol w:w="7950"/>
        <w:gridCol w:w="1363"/>
        <w:gridCol w:w="1301"/>
      </w:tblGrid>
      <w:tr w:rsidR="00423DD6">
        <w:trPr>
          <w:trHeight w:val="177"/>
        </w:trPr>
        <w:tc>
          <w:tcPr>
            <w:tcW w:w="7950" w:type="dxa"/>
          </w:tcPr>
          <w:p w:rsidR="00423DD6" w:rsidRDefault="003C5418">
            <w:pPr>
              <w:autoSpaceDE w:val="0"/>
              <w:autoSpaceDN w:val="0"/>
              <w:adjustRightInd w:val="0"/>
              <w:spacing w:line="276" w:lineRule="auto"/>
              <w:rPr>
                <w:rFonts w:cs="Arial-BoldMT"/>
                <w:b/>
                <w:i/>
                <w:sz w:val="18"/>
              </w:rPr>
            </w:pPr>
            <w:r>
              <w:rPr>
                <w:rFonts w:cs="ArialMT"/>
                <w:color w:val="000000"/>
                <w:sz w:val="18"/>
              </w:rPr>
              <w:t>Full representation in all insurance matters</w:t>
            </w:r>
          </w:p>
        </w:tc>
        <w:tc>
          <w:tcPr>
            <w:tcW w:w="1363" w:type="dxa"/>
          </w:tcPr>
          <w:p w:rsidR="00423DD6" w:rsidRDefault="003C5418">
            <w:pPr>
              <w:autoSpaceDE w:val="0"/>
              <w:autoSpaceDN w:val="0"/>
              <w:adjustRightInd w:val="0"/>
              <w:rPr>
                <w:rFonts w:cs="Arial-BoldMT"/>
                <w:b/>
                <w:sz w:val="18"/>
              </w:rPr>
            </w:pPr>
            <w:r>
              <w:rPr>
                <w:rFonts w:cs="Arial-BoldMT"/>
                <w:b/>
                <w:sz w:val="18"/>
              </w:rPr>
              <w:t xml:space="preserve">YES </w:t>
            </w:r>
            <w:r>
              <w:rPr>
                <w:rFonts w:cs="Arial-BoldMT"/>
                <w:b/>
                <w:sz w:val="18"/>
              </w:rPr>
              <w:sym w:font="Wingdings" w:char="F0A8"/>
            </w:r>
          </w:p>
        </w:tc>
        <w:tc>
          <w:tcPr>
            <w:tcW w:w="1300" w:type="dxa"/>
          </w:tcPr>
          <w:p w:rsidR="00423DD6" w:rsidRDefault="003C5418">
            <w:pPr>
              <w:autoSpaceDE w:val="0"/>
              <w:autoSpaceDN w:val="0"/>
              <w:adjustRightInd w:val="0"/>
              <w:rPr>
                <w:rFonts w:cs="Arial-BoldMT"/>
                <w:b/>
                <w:sz w:val="18"/>
              </w:rPr>
            </w:pPr>
            <w:r>
              <w:rPr>
                <w:rFonts w:cs="Arial-BoldMT"/>
                <w:b/>
                <w:sz w:val="18"/>
              </w:rPr>
              <w:t xml:space="preserve">NO </w:t>
            </w:r>
            <w:r>
              <w:rPr>
                <w:rFonts w:cs="Arial-BoldMT"/>
                <w:b/>
                <w:sz w:val="18"/>
              </w:rPr>
              <w:sym w:font="Wingdings" w:char="F0A8"/>
            </w:r>
          </w:p>
        </w:tc>
      </w:tr>
      <w:tr w:rsidR="00423DD6">
        <w:trPr>
          <w:trHeight w:val="177"/>
        </w:trPr>
        <w:tc>
          <w:tcPr>
            <w:tcW w:w="7950" w:type="dxa"/>
          </w:tcPr>
          <w:p w:rsidR="00423DD6" w:rsidRDefault="003C5418">
            <w:pPr>
              <w:autoSpaceDE w:val="0"/>
              <w:autoSpaceDN w:val="0"/>
              <w:adjustRightInd w:val="0"/>
              <w:spacing w:line="276" w:lineRule="auto"/>
              <w:rPr>
                <w:rFonts w:cs="Arial-BoldMT"/>
                <w:b/>
                <w:i/>
                <w:sz w:val="18"/>
              </w:rPr>
            </w:pPr>
            <w:r>
              <w:rPr>
                <w:rFonts w:cs="ArialMT"/>
                <w:color w:val="000000"/>
                <w:sz w:val="18"/>
              </w:rPr>
              <w:t>Individual order according to risk list</w:t>
            </w:r>
          </w:p>
        </w:tc>
        <w:tc>
          <w:tcPr>
            <w:tcW w:w="1363" w:type="dxa"/>
          </w:tcPr>
          <w:p w:rsidR="00423DD6" w:rsidRDefault="003C5418">
            <w:pPr>
              <w:autoSpaceDE w:val="0"/>
              <w:autoSpaceDN w:val="0"/>
              <w:adjustRightInd w:val="0"/>
              <w:rPr>
                <w:rFonts w:cs="Arial-BoldMT"/>
                <w:b/>
                <w:sz w:val="18"/>
              </w:rPr>
            </w:pPr>
            <w:r>
              <w:rPr>
                <w:rFonts w:cs="Arial-BoldMT"/>
                <w:b/>
                <w:sz w:val="18"/>
              </w:rPr>
              <w:t xml:space="preserve">YES </w:t>
            </w:r>
            <w:r>
              <w:rPr>
                <w:rFonts w:cs="Arial-BoldMT"/>
                <w:b/>
                <w:sz w:val="18"/>
              </w:rPr>
              <w:sym w:font="Wingdings" w:char="F0A8"/>
            </w:r>
          </w:p>
        </w:tc>
        <w:tc>
          <w:tcPr>
            <w:tcW w:w="1300" w:type="dxa"/>
          </w:tcPr>
          <w:p w:rsidR="00423DD6" w:rsidRDefault="003C5418">
            <w:pPr>
              <w:autoSpaceDE w:val="0"/>
              <w:autoSpaceDN w:val="0"/>
              <w:adjustRightInd w:val="0"/>
              <w:rPr>
                <w:rFonts w:cs="Arial-BoldMT"/>
                <w:b/>
                <w:sz w:val="18"/>
              </w:rPr>
            </w:pPr>
            <w:r>
              <w:rPr>
                <w:rFonts w:cs="Arial-BoldMT"/>
                <w:b/>
                <w:sz w:val="18"/>
              </w:rPr>
              <w:t xml:space="preserve">NO </w:t>
            </w:r>
            <w:r>
              <w:rPr>
                <w:rFonts w:cs="Arial-BoldMT"/>
                <w:b/>
                <w:sz w:val="18"/>
              </w:rPr>
              <w:sym w:font="Wingdings" w:char="F0A8"/>
            </w:r>
          </w:p>
        </w:tc>
      </w:tr>
      <w:tr w:rsidR="00423DD6">
        <w:trPr>
          <w:trHeight w:val="177"/>
        </w:trPr>
        <w:tc>
          <w:tcPr>
            <w:tcW w:w="10614" w:type="dxa"/>
            <w:gridSpan w:val="3"/>
          </w:tcPr>
          <w:p w:rsidR="00423DD6" w:rsidRDefault="003C5418">
            <w:pPr>
              <w:autoSpaceDE w:val="0"/>
              <w:autoSpaceDN w:val="0"/>
              <w:adjustRightInd w:val="0"/>
              <w:rPr>
                <w:rFonts w:cs="Helvetica-Bold"/>
                <w:b/>
                <w:color w:val="000000"/>
                <w:sz w:val="16"/>
              </w:rPr>
            </w:pPr>
            <w:r>
              <w:rPr>
                <w:rFonts w:cs="Helvetica-Bold"/>
                <w:b/>
                <w:color w:val="000000"/>
                <w:sz w:val="16"/>
              </w:rPr>
              <w:t xml:space="preserve">A further order placement is not desired and is therefore excluded. </w:t>
            </w:r>
          </w:p>
          <w:p w:rsidR="00423DD6" w:rsidRDefault="003C5418">
            <w:pPr>
              <w:autoSpaceDE w:val="0"/>
              <w:autoSpaceDN w:val="0"/>
              <w:adjustRightInd w:val="0"/>
              <w:rPr>
                <w:rFonts w:cs="Helvetica-Bold"/>
                <w:b/>
                <w:color w:val="000000"/>
                <w:sz w:val="16"/>
              </w:rPr>
            </w:pPr>
            <w:r>
              <w:rPr>
                <w:rFonts w:cs="Helvetica-Bold"/>
                <w:b/>
                <w:color w:val="000000"/>
                <w:sz w:val="16"/>
              </w:rPr>
              <w:t>There is no liability for all unsolicited and unaccepted orders.</w:t>
            </w:r>
          </w:p>
          <w:p w:rsidR="00423DD6" w:rsidRDefault="003C5418">
            <w:pPr>
              <w:autoSpaceDE w:val="0"/>
              <w:autoSpaceDN w:val="0"/>
              <w:adjustRightInd w:val="0"/>
              <w:rPr>
                <w:rFonts w:cs="Helvetica-Bold"/>
                <w:b/>
                <w:color w:val="000000"/>
              </w:rPr>
            </w:pPr>
            <w:r>
              <w:rPr>
                <w:rFonts w:cs="Helvetica-Bold"/>
                <w:b/>
                <w:color w:val="000000"/>
                <w:sz w:val="16"/>
              </w:rPr>
              <w:t>REMUNERATION: The insurance broker is remunerated from commissions included in the insurance premium.</w:t>
            </w:r>
          </w:p>
        </w:tc>
      </w:tr>
    </w:tbl>
    <w:p w:rsidR="00423DD6" w:rsidRDefault="00423DD6">
      <w:pPr>
        <w:autoSpaceDE w:val="0"/>
        <w:autoSpaceDN w:val="0"/>
        <w:adjustRightInd w:val="0"/>
        <w:spacing w:after="0" w:line="240" w:lineRule="auto"/>
        <w:rPr>
          <w:rFonts w:cs="Helvetica-Bold"/>
          <w:b/>
          <w:color w:val="000000"/>
          <w:sz w:val="10"/>
        </w:rPr>
      </w:pPr>
    </w:p>
    <w:p w:rsidR="00423DD6" w:rsidRDefault="003C5418">
      <w:pPr>
        <w:autoSpaceDE w:val="0"/>
        <w:autoSpaceDN w:val="0"/>
        <w:adjustRightInd w:val="0"/>
        <w:spacing w:after="0" w:line="240" w:lineRule="auto"/>
        <w:rPr>
          <w:rFonts w:cs="Helvetica-Bold"/>
          <w:b/>
          <w:color w:val="000000"/>
          <w:sz w:val="24"/>
        </w:rPr>
      </w:pPr>
      <w:r>
        <w:rPr>
          <w:rFonts w:cs="Helvetica-Bold"/>
          <w:b/>
          <w:color w:val="000000"/>
          <w:sz w:val="24"/>
        </w:rPr>
        <w:t>Scope of order</w:t>
      </w:r>
    </w:p>
    <w:tbl>
      <w:tblPr>
        <w:tblStyle w:val="Grigliatabella"/>
        <w:tblpPr w:leftFromText="141" w:rightFromText="141" w:vertAnchor="text" w:horzAnchor="margin" w:tblpY="75"/>
        <w:tblW w:w="10614" w:type="dxa"/>
        <w:tblLook w:val="04A0" w:firstRow="1" w:lastRow="0" w:firstColumn="1" w:lastColumn="0" w:noHBand="0" w:noVBand="1"/>
      </w:tblPr>
      <w:tblGrid>
        <w:gridCol w:w="8755"/>
        <w:gridCol w:w="851"/>
        <w:gridCol w:w="1008"/>
      </w:tblGrid>
      <w:tr w:rsidR="00423DD6">
        <w:trPr>
          <w:trHeight w:val="177"/>
        </w:trPr>
        <w:tc>
          <w:tcPr>
            <w:tcW w:w="10614" w:type="dxa"/>
            <w:gridSpan w:val="3"/>
          </w:tcPr>
          <w:p w:rsidR="00423DD6" w:rsidRDefault="003C5418">
            <w:pPr>
              <w:autoSpaceDE w:val="0"/>
              <w:autoSpaceDN w:val="0"/>
              <w:adjustRightInd w:val="0"/>
              <w:rPr>
                <w:rFonts w:cs="Arial-BoldMT"/>
                <w:b/>
                <w:sz w:val="18"/>
              </w:rPr>
            </w:pPr>
            <w:r>
              <w:rPr>
                <w:rFonts w:cs="ArialMT"/>
                <w:color w:val="000000"/>
                <w:sz w:val="18"/>
              </w:rPr>
              <w:t>The catalogue of services including the associated obligations of the insurance broker and the customer can be found in the Brokers Act and the General Terms and Conditions of Business of the Austrian insurance brokers. Contrary to this, the insurance brok</w:t>
            </w:r>
            <w:r>
              <w:rPr>
                <w:rFonts w:cs="ArialMT"/>
                <w:color w:val="000000"/>
                <w:sz w:val="18"/>
              </w:rPr>
              <w:t>er's protection of interests is extended and/or restricted to and/or by the following benefits:</w:t>
            </w:r>
          </w:p>
        </w:tc>
      </w:tr>
      <w:tr w:rsidR="00423DD6">
        <w:trPr>
          <w:trHeight w:val="177"/>
        </w:trPr>
        <w:tc>
          <w:tcPr>
            <w:tcW w:w="8755" w:type="dxa"/>
          </w:tcPr>
          <w:p w:rsidR="00423DD6" w:rsidRDefault="003C5418">
            <w:pPr>
              <w:autoSpaceDE w:val="0"/>
              <w:autoSpaceDN w:val="0"/>
              <w:adjustRightInd w:val="0"/>
              <w:rPr>
                <w:rFonts w:cs="ArialMT"/>
                <w:sz w:val="18"/>
              </w:rPr>
            </w:pPr>
            <w:r>
              <w:rPr>
                <w:rFonts w:cs="ArialMT"/>
                <w:sz w:val="18"/>
              </w:rPr>
              <w:t xml:space="preserve">Reporting and notification of legal acts to the customer (§28 para. 4 Broker Act) </w:t>
            </w:r>
          </w:p>
        </w:tc>
        <w:tc>
          <w:tcPr>
            <w:tcW w:w="851" w:type="dxa"/>
          </w:tcPr>
          <w:p w:rsidR="00423DD6" w:rsidRDefault="003C5418">
            <w:pPr>
              <w:autoSpaceDE w:val="0"/>
              <w:autoSpaceDN w:val="0"/>
              <w:adjustRightInd w:val="0"/>
              <w:rPr>
                <w:rFonts w:cs="Arial-BoldMT"/>
                <w:b/>
                <w:sz w:val="18"/>
              </w:rPr>
            </w:pPr>
            <w:r>
              <w:rPr>
                <w:rFonts w:cs="Arial-BoldMT"/>
                <w:b/>
                <w:sz w:val="18"/>
              </w:rPr>
              <w:t xml:space="preserve">YES </w:t>
            </w:r>
            <w:r>
              <w:rPr>
                <w:rFonts w:cs="Arial-BoldMT"/>
                <w:b/>
                <w:sz w:val="18"/>
              </w:rPr>
              <w:sym w:font="Wingdings" w:char="F0A8"/>
            </w:r>
          </w:p>
        </w:tc>
        <w:tc>
          <w:tcPr>
            <w:tcW w:w="1008" w:type="dxa"/>
          </w:tcPr>
          <w:p w:rsidR="00423DD6" w:rsidRDefault="003C5418">
            <w:pPr>
              <w:autoSpaceDE w:val="0"/>
              <w:autoSpaceDN w:val="0"/>
              <w:adjustRightInd w:val="0"/>
              <w:rPr>
                <w:rFonts w:cs="Arial-BoldMT"/>
                <w:b/>
                <w:sz w:val="18"/>
              </w:rPr>
            </w:pPr>
            <w:r>
              <w:rPr>
                <w:rFonts w:cs="Arial-BoldMT"/>
                <w:b/>
                <w:sz w:val="18"/>
              </w:rPr>
              <w:t xml:space="preserve">NO </w:t>
            </w:r>
            <w:r>
              <w:rPr>
                <w:rFonts w:cs="Arial-BoldMT"/>
                <w:b/>
                <w:sz w:val="18"/>
              </w:rPr>
              <w:sym w:font="Wingdings" w:char="F0A8"/>
            </w:r>
          </w:p>
        </w:tc>
      </w:tr>
      <w:tr w:rsidR="00423DD6">
        <w:trPr>
          <w:trHeight w:val="177"/>
        </w:trPr>
        <w:tc>
          <w:tcPr>
            <w:tcW w:w="8755" w:type="dxa"/>
          </w:tcPr>
          <w:p w:rsidR="00423DD6" w:rsidRDefault="003C5418">
            <w:pPr>
              <w:autoSpaceDE w:val="0"/>
              <w:autoSpaceDN w:val="0"/>
              <w:adjustRightInd w:val="0"/>
              <w:rPr>
                <w:rFonts w:cs="Helvetica-Bold"/>
                <w:b/>
                <w:color w:val="000000"/>
                <w:sz w:val="18"/>
              </w:rPr>
            </w:pPr>
            <w:r>
              <w:rPr>
                <w:rFonts w:cs="ArialMT"/>
                <w:color w:val="000000"/>
                <w:sz w:val="18"/>
              </w:rPr>
              <w:t xml:space="preserve">Review of the insurance policy (§ 28 para. 5 Broker Act) </w:t>
            </w:r>
          </w:p>
        </w:tc>
        <w:tc>
          <w:tcPr>
            <w:tcW w:w="851" w:type="dxa"/>
          </w:tcPr>
          <w:p w:rsidR="00423DD6" w:rsidRDefault="003C5418">
            <w:pPr>
              <w:autoSpaceDE w:val="0"/>
              <w:autoSpaceDN w:val="0"/>
              <w:adjustRightInd w:val="0"/>
              <w:rPr>
                <w:rFonts w:cs="Arial-BoldMT"/>
                <w:b/>
                <w:sz w:val="18"/>
              </w:rPr>
            </w:pPr>
            <w:r>
              <w:rPr>
                <w:rFonts w:cs="Arial-BoldMT"/>
                <w:b/>
                <w:sz w:val="18"/>
              </w:rPr>
              <w:t xml:space="preserve">YES </w:t>
            </w:r>
            <w:r>
              <w:rPr>
                <w:rFonts w:cs="Arial-BoldMT"/>
                <w:b/>
                <w:sz w:val="18"/>
              </w:rPr>
              <w:sym w:font="Wingdings" w:char="F0A8"/>
            </w:r>
          </w:p>
        </w:tc>
        <w:tc>
          <w:tcPr>
            <w:tcW w:w="1008" w:type="dxa"/>
          </w:tcPr>
          <w:p w:rsidR="00423DD6" w:rsidRDefault="003C5418">
            <w:pPr>
              <w:autoSpaceDE w:val="0"/>
              <w:autoSpaceDN w:val="0"/>
              <w:adjustRightInd w:val="0"/>
              <w:rPr>
                <w:rFonts w:cs="Arial-BoldMT"/>
                <w:b/>
                <w:sz w:val="18"/>
              </w:rPr>
            </w:pPr>
            <w:r>
              <w:rPr>
                <w:rFonts w:cs="Arial-BoldMT"/>
                <w:b/>
                <w:sz w:val="18"/>
              </w:rPr>
              <w:t xml:space="preserve">NO </w:t>
            </w:r>
            <w:r>
              <w:rPr>
                <w:rFonts w:cs="Arial-BoldMT"/>
                <w:b/>
                <w:sz w:val="18"/>
              </w:rPr>
              <w:sym w:font="Wingdings" w:char="F0A8"/>
            </w:r>
          </w:p>
        </w:tc>
      </w:tr>
      <w:tr w:rsidR="00423DD6">
        <w:trPr>
          <w:trHeight w:val="177"/>
        </w:trPr>
        <w:tc>
          <w:tcPr>
            <w:tcW w:w="8755" w:type="dxa"/>
          </w:tcPr>
          <w:p w:rsidR="00423DD6" w:rsidRDefault="003C5418">
            <w:pPr>
              <w:autoSpaceDE w:val="0"/>
              <w:autoSpaceDN w:val="0"/>
              <w:adjustRightInd w:val="0"/>
              <w:rPr>
                <w:rFonts w:cs="ArialMT"/>
                <w:color w:val="000000"/>
                <w:sz w:val="18"/>
              </w:rPr>
            </w:pPr>
            <w:r>
              <w:rPr>
                <w:rFonts w:cs="ArialMT"/>
                <w:color w:val="000000"/>
                <w:sz w:val="18"/>
              </w:rPr>
              <w:t>The insurance broker is responsible for settling claims (§ 28 para. 6 Broker Act)</w:t>
            </w:r>
          </w:p>
        </w:tc>
        <w:tc>
          <w:tcPr>
            <w:tcW w:w="851" w:type="dxa"/>
          </w:tcPr>
          <w:p w:rsidR="00423DD6" w:rsidRDefault="003C5418">
            <w:pPr>
              <w:autoSpaceDE w:val="0"/>
              <w:autoSpaceDN w:val="0"/>
              <w:adjustRightInd w:val="0"/>
              <w:rPr>
                <w:rFonts w:cs="Arial-BoldMT"/>
                <w:b/>
                <w:sz w:val="18"/>
              </w:rPr>
            </w:pPr>
            <w:r>
              <w:rPr>
                <w:rFonts w:cs="Arial-BoldMT"/>
                <w:b/>
                <w:sz w:val="18"/>
              </w:rPr>
              <w:t xml:space="preserve">YES </w:t>
            </w:r>
            <w:r>
              <w:rPr>
                <w:rFonts w:cs="Arial-BoldMT"/>
                <w:b/>
                <w:sz w:val="18"/>
              </w:rPr>
              <w:sym w:font="Wingdings" w:char="F0A8"/>
            </w:r>
          </w:p>
        </w:tc>
        <w:tc>
          <w:tcPr>
            <w:tcW w:w="1008" w:type="dxa"/>
          </w:tcPr>
          <w:p w:rsidR="00423DD6" w:rsidRDefault="003C5418">
            <w:pPr>
              <w:autoSpaceDE w:val="0"/>
              <w:autoSpaceDN w:val="0"/>
              <w:adjustRightInd w:val="0"/>
              <w:rPr>
                <w:rFonts w:cs="Arial-BoldMT"/>
                <w:b/>
                <w:sz w:val="18"/>
              </w:rPr>
            </w:pPr>
            <w:r>
              <w:rPr>
                <w:rFonts w:cs="Arial-BoldMT"/>
                <w:b/>
                <w:sz w:val="18"/>
              </w:rPr>
              <w:t xml:space="preserve">NO </w:t>
            </w:r>
            <w:r>
              <w:rPr>
                <w:rFonts w:cs="Arial-BoldMT"/>
                <w:b/>
                <w:sz w:val="18"/>
              </w:rPr>
              <w:sym w:font="Wingdings" w:char="F0A8"/>
            </w:r>
          </w:p>
        </w:tc>
      </w:tr>
      <w:tr w:rsidR="00423DD6">
        <w:trPr>
          <w:trHeight w:val="177"/>
        </w:trPr>
        <w:tc>
          <w:tcPr>
            <w:tcW w:w="8755" w:type="dxa"/>
          </w:tcPr>
          <w:p w:rsidR="00423DD6" w:rsidRDefault="003C5418">
            <w:pPr>
              <w:autoSpaceDE w:val="0"/>
              <w:autoSpaceDN w:val="0"/>
              <w:adjustRightInd w:val="0"/>
              <w:rPr>
                <w:rFonts w:cs="ArialMT"/>
                <w:color w:val="000000"/>
                <w:sz w:val="18"/>
              </w:rPr>
            </w:pPr>
            <w:r>
              <w:rPr>
                <w:rFonts w:cs="ArialMT"/>
                <w:color w:val="000000"/>
                <w:sz w:val="18"/>
              </w:rPr>
              <w:t>Periodic review of existing insurance contracts (§ 28 para. 7 Broker Act)</w:t>
            </w:r>
          </w:p>
        </w:tc>
        <w:tc>
          <w:tcPr>
            <w:tcW w:w="851" w:type="dxa"/>
          </w:tcPr>
          <w:p w:rsidR="00423DD6" w:rsidRDefault="003C5418">
            <w:pPr>
              <w:autoSpaceDE w:val="0"/>
              <w:autoSpaceDN w:val="0"/>
              <w:adjustRightInd w:val="0"/>
              <w:rPr>
                <w:rFonts w:cs="Arial-BoldMT"/>
                <w:b/>
                <w:sz w:val="18"/>
              </w:rPr>
            </w:pPr>
            <w:r>
              <w:rPr>
                <w:rFonts w:cs="Arial-BoldMT"/>
                <w:b/>
                <w:sz w:val="18"/>
              </w:rPr>
              <w:t xml:space="preserve">YES </w:t>
            </w:r>
            <w:r>
              <w:rPr>
                <w:rFonts w:cs="Arial-BoldMT"/>
                <w:b/>
                <w:sz w:val="18"/>
              </w:rPr>
              <w:sym w:font="Wingdings" w:char="F0A8"/>
            </w:r>
          </w:p>
        </w:tc>
        <w:tc>
          <w:tcPr>
            <w:tcW w:w="1008" w:type="dxa"/>
          </w:tcPr>
          <w:p w:rsidR="00423DD6" w:rsidRDefault="003C5418">
            <w:pPr>
              <w:autoSpaceDE w:val="0"/>
              <w:autoSpaceDN w:val="0"/>
              <w:adjustRightInd w:val="0"/>
              <w:rPr>
                <w:rFonts w:cs="Arial-BoldMT"/>
                <w:b/>
                <w:sz w:val="18"/>
              </w:rPr>
            </w:pPr>
            <w:r>
              <w:rPr>
                <w:rFonts w:cs="Arial-BoldMT"/>
                <w:b/>
                <w:sz w:val="18"/>
              </w:rPr>
              <w:t xml:space="preserve">NO </w:t>
            </w:r>
            <w:r>
              <w:rPr>
                <w:rFonts w:cs="Arial-BoldMT"/>
                <w:b/>
                <w:sz w:val="18"/>
              </w:rPr>
              <w:sym w:font="Wingdings" w:char="F0A8"/>
            </w:r>
          </w:p>
        </w:tc>
      </w:tr>
      <w:tr w:rsidR="00423DD6">
        <w:trPr>
          <w:trHeight w:val="177"/>
        </w:trPr>
        <w:tc>
          <w:tcPr>
            <w:tcW w:w="8755" w:type="dxa"/>
          </w:tcPr>
          <w:p w:rsidR="00423DD6" w:rsidRDefault="003C5418">
            <w:pPr>
              <w:autoSpaceDE w:val="0"/>
              <w:autoSpaceDN w:val="0"/>
              <w:adjustRightInd w:val="0"/>
              <w:rPr>
                <w:rFonts w:cs="ArialMT"/>
                <w:color w:val="000000"/>
                <w:sz w:val="18"/>
              </w:rPr>
            </w:pPr>
            <w:r>
              <w:rPr>
                <w:rFonts w:cs="ArialMT"/>
                <w:color w:val="000000"/>
                <w:sz w:val="18"/>
              </w:rPr>
              <w:t xml:space="preserve">Entitlement to receive premiums for insurance undertakings or amounts </w:t>
            </w:r>
            <w:r>
              <w:rPr>
                <w:rFonts w:cs="ArialMT"/>
                <w:color w:val="000000"/>
                <w:sz w:val="18"/>
              </w:rPr>
              <w:t>intended for the insurance customer</w:t>
            </w:r>
          </w:p>
        </w:tc>
        <w:tc>
          <w:tcPr>
            <w:tcW w:w="851" w:type="dxa"/>
          </w:tcPr>
          <w:p w:rsidR="00423DD6" w:rsidRDefault="003C5418">
            <w:pPr>
              <w:autoSpaceDE w:val="0"/>
              <w:autoSpaceDN w:val="0"/>
              <w:adjustRightInd w:val="0"/>
              <w:rPr>
                <w:rFonts w:cs="Arial-BoldMT"/>
                <w:b/>
                <w:sz w:val="18"/>
              </w:rPr>
            </w:pPr>
            <w:r>
              <w:rPr>
                <w:rFonts w:cs="Arial-BoldMT"/>
                <w:b/>
                <w:sz w:val="18"/>
              </w:rPr>
              <w:t xml:space="preserve">YES </w:t>
            </w:r>
            <w:r>
              <w:rPr>
                <w:rFonts w:cs="Arial-BoldMT"/>
                <w:b/>
                <w:sz w:val="18"/>
              </w:rPr>
              <w:sym w:font="Wingdings" w:char="F0A8"/>
            </w:r>
          </w:p>
        </w:tc>
        <w:tc>
          <w:tcPr>
            <w:tcW w:w="1008" w:type="dxa"/>
          </w:tcPr>
          <w:p w:rsidR="00423DD6" w:rsidRDefault="003C5418">
            <w:pPr>
              <w:autoSpaceDE w:val="0"/>
              <w:autoSpaceDN w:val="0"/>
              <w:adjustRightInd w:val="0"/>
              <w:rPr>
                <w:rFonts w:cs="Arial-BoldMT"/>
                <w:b/>
                <w:sz w:val="18"/>
              </w:rPr>
            </w:pPr>
            <w:r>
              <w:rPr>
                <w:rFonts w:cs="Arial-BoldMT"/>
                <w:b/>
                <w:sz w:val="18"/>
              </w:rPr>
              <w:t xml:space="preserve">NO </w:t>
            </w:r>
            <w:r>
              <w:rPr>
                <w:rFonts w:cs="Arial-BoldMT"/>
                <w:b/>
                <w:sz w:val="18"/>
              </w:rPr>
              <w:sym w:font="Wingdings" w:char="F0A8"/>
            </w:r>
          </w:p>
        </w:tc>
      </w:tr>
      <w:tr w:rsidR="00423DD6">
        <w:trPr>
          <w:trHeight w:val="177"/>
        </w:trPr>
        <w:tc>
          <w:tcPr>
            <w:tcW w:w="10614" w:type="dxa"/>
            <w:gridSpan w:val="3"/>
          </w:tcPr>
          <w:p w:rsidR="00423DD6" w:rsidRDefault="003C5418">
            <w:pPr>
              <w:autoSpaceDE w:val="0"/>
              <w:autoSpaceDN w:val="0"/>
              <w:adjustRightInd w:val="0"/>
              <w:rPr>
                <w:rFonts w:cs="Helvetica-Bold"/>
                <w:b/>
                <w:color w:val="000000"/>
                <w:sz w:val="16"/>
              </w:rPr>
            </w:pPr>
            <w:r>
              <w:rPr>
                <w:rFonts w:cs="Helvetica-Bold"/>
                <w:b/>
                <w:color w:val="000000"/>
                <w:sz w:val="16"/>
              </w:rPr>
              <w:t>The advice given is based exclusively on a balanced analysis of a sufficient number of products on the Austrian market. A further order placement is not desired and is therefore excluded.</w:t>
            </w:r>
          </w:p>
        </w:tc>
      </w:tr>
    </w:tbl>
    <w:p w:rsidR="00423DD6" w:rsidRDefault="00423DD6">
      <w:pPr>
        <w:autoSpaceDE w:val="0"/>
        <w:autoSpaceDN w:val="0"/>
        <w:adjustRightInd w:val="0"/>
        <w:spacing w:after="0" w:line="240" w:lineRule="auto"/>
        <w:rPr>
          <w:rFonts w:cs="Helvetica-Bold"/>
          <w:b/>
          <w:color w:val="000000"/>
          <w:sz w:val="10"/>
        </w:rPr>
      </w:pPr>
    </w:p>
    <w:p w:rsidR="00423DD6" w:rsidRDefault="003C5418">
      <w:pPr>
        <w:autoSpaceDE w:val="0"/>
        <w:autoSpaceDN w:val="0"/>
        <w:adjustRightInd w:val="0"/>
        <w:spacing w:after="0"/>
        <w:rPr>
          <w:rFonts w:cs="Helvetica-Bold"/>
          <w:b/>
          <w:color w:val="FFFFFF"/>
          <w:sz w:val="24"/>
        </w:rPr>
      </w:pPr>
      <w:r>
        <w:rPr>
          <w:rFonts w:cs="Helvetica-Bold"/>
          <w:b/>
          <w:color w:val="000000"/>
          <w:sz w:val="24"/>
        </w:rPr>
        <w:t>Legal information obligations</w:t>
      </w:r>
    </w:p>
    <w:tbl>
      <w:tblPr>
        <w:tblStyle w:val="Grigliatabella"/>
        <w:tblW w:w="0" w:type="auto"/>
        <w:tblLook w:val="04A0" w:firstRow="1" w:lastRow="0" w:firstColumn="1" w:lastColumn="0" w:noHBand="0" w:noVBand="1"/>
      </w:tblPr>
      <w:tblGrid>
        <w:gridCol w:w="5303"/>
        <w:gridCol w:w="5303"/>
      </w:tblGrid>
      <w:tr w:rsidR="00423DD6">
        <w:trPr>
          <w:trHeight w:val="875"/>
        </w:trPr>
        <w:tc>
          <w:tcPr>
            <w:tcW w:w="5303" w:type="dxa"/>
          </w:tcPr>
          <w:p w:rsidR="00423DD6" w:rsidRDefault="003C5418">
            <w:pPr>
              <w:autoSpaceDE w:val="0"/>
              <w:autoSpaceDN w:val="0"/>
              <w:adjustRightInd w:val="0"/>
              <w:rPr>
                <w:rFonts w:cs="Helvetica-Bold"/>
                <w:b/>
                <w:sz w:val="16"/>
              </w:rPr>
            </w:pPr>
            <w:r>
              <w:rPr>
                <w:rFonts w:cs="Helvetica-Bold"/>
                <w:b/>
                <w:sz w:val="16"/>
              </w:rPr>
              <w:t xml:space="preserve">Register entry: </w:t>
            </w:r>
          </w:p>
          <w:p w:rsidR="00423DD6" w:rsidRDefault="003C5418">
            <w:pPr>
              <w:autoSpaceDE w:val="0"/>
              <w:autoSpaceDN w:val="0"/>
              <w:adjustRightInd w:val="0"/>
              <w:rPr>
                <w:rFonts w:eastAsia="Calibri" w:cs="ArialMT"/>
                <w:sz w:val="16"/>
              </w:rPr>
            </w:pPr>
            <w:r>
              <w:rPr>
                <w:rFonts w:eastAsia="Calibri" w:cs="ArialMT"/>
                <w:sz w:val="16"/>
              </w:rPr>
              <w:t xml:space="preserve">Federal Ministry for Digitization and Business Location </w:t>
            </w:r>
          </w:p>
          <w:p w:rsidR="00423DD6" w:rsidRDefault="003C5418">
            <w:pPr>
              <w:autoSpaceDE w:val="0"/>
              <w:autoSpaceDN w:val="0"/>
              <w:adjustRightInd w:val="0"/>
              <w:rPr>
                <w:rFonts w:cs="ArialMT"/>
                <w:sz w:val="16"/>
              </w:rPr>
            </w:pPr>
            <w:r>
              <w:rPr>
                <w:rFonts w:cs="ArialMT"/>
                <w:sz w:val="16"/>
              </w:rPr>
              <w:t>Stubenring 1, 1010 Vienna</w:t>
            </w:r>
          </w:p>
          <w:p w:rsidR="00423DD6" w:rsidRDefault="003C5418">
            <w:pPr>
              <w:autoSpaceDE w:val="0"/>
              <w:autoSpaceDN w:val="0"/>
              <w:adjustRightInd w:val="0"/>
              <w:rPr>
                <w:rFonts w:cs="ArialMT"/>
                <w:sz w:val="16"/>
              </w:rPr>
            </w:pPr>
            <w:r>
              <w:rPr>
                <w:rFonts w:cs="ArialMT"/>
                <w:sz w:val="16"/>
              </w:rPr>
              <w:t>www.gisa.gv.at/versicherungsvermittlerregister</w:t>
            </w:r>
          </w:p>
        </w:tc>
        <w:tc>
          <w:tcPr>
            <w:tcW w:w="5303" w:type="dxa"/>
          </w:tcPr>
          <w:p w:rsidR="00423DD6" w:rsidRDefault="003C5418">
            <w:pPr>
              <w:autoSpaceDE w:val="0"/>
              <w:autoSpaceDN w:val="0"/>
              <w:adjustRightInd w:val="0"/>
              <w:rPr>
                <w:rFonts w:cs="Helvetica-Bold"/>
                <w:b/>
                <w:sz w:val="16"/>
              </w:rPr>
            </w:pPr>
            <w:r>
              <w:rPr>
                <w:rFonts w:cs="Helvetica-Bold"/>
                <w:b/>
                <w:sz w:val="16"/>
              </w:rPr>
              <w:t xml:space="preserve">Complaints Office: </w:t>
            </w:r>
          </w:p>
          <w:p w:rsidR="00423DD6" w:rsidRDefault="003C5418">
            <w:pPr>
              <w:autoSpaceDE w:val="0"/>
              <w:autoSpaceDN w:val="0"/>
              <w:adjustRightInd w:val="0"/>
              <w:rPr>
                <w:rFonts w:cs="ArialMT"/>
                <w:sz w:val="16"/>
              </w:rPr>
            </w:pPr>
            <w:r>
              <w:rPr>
                <w:rFonts w:cs="ArialMT"/>
                <w:sz w:val="16"/>
              </w:rPr>
              <w:t xml:space="preserve">Federal Ministry of Science, Research and Economics, Dept. </w:t>
            </w:r>
            <w:r>
              <w:rPr>
                <w:rFonts w:cs="ArialMT"/>
                <w:sz w:val="16"/>
              </w:rPr>
              <w:t>I/7 Stubenring 1, 1010 Vienna</w:t>
            </w:r>
          </w:p>
          <w:p w:rsidR="00423DD6" w:rsidRDefault="003C5418">
            <w:pPr>
              <w:autoSpaceDE w:val="0"/>
              <w:autoSpaceDN w:val="0"/>
              <w:adjustRightInd w:val="0"/>
              <w:rPr>
                <w:rFonts w:cs="ArialMT"/>
                <w:sz w:val="16"/>
              </w:rPr>
            </w:pPr>
            <w:r>
              <w:rPr>
                <w:rFonts w:cs="ArialMT"/>
                <w:sz w:val="16"/>
              </w:rPr>
              <w:t>www.bmwfw.gv.at/</w:t>
            </w:r>
          </w:p>
        </w:tc>
      </w:tr>
      <w:tr w:rsidR="00423DD6">
        <w:tc>
          <w:tcPr>
            <w:tcW w:w="10606" w:type="dxa"/>
            <w:gridSpan w:val="2"/>
          </w:tcPr>
          <w:p w:rsidR="00423DD6" w:rsidRDefault="003C5418">
            <w:pPr>
              <w:autoSpaceDE w:val="0"/>
              <w:autoSpaceDN w:val="0"/>
              <w:adjustRightInd w:val="0"/>
              <w:rPr>
                <w:rFonts w:cs="Helvetica-Bold"/>
                <w:b/>
                <w:color w:val="000000"/>
                <w:sz w:val="16"/>
              </w:rPr>
            </w:pPr>
            <w:r>
              <w:rPr>
                <w:rFonts w:cs="Helvetica-Bold"/>
                <w:b/>
                <w:color w:val="000000"/>
                <w:sz w:val="16"/>
              </w:rPr>
              <w:t>The insurance broker does not hold an interest in an insurance company, nor does an insurance company hold an interest in the insurance broker.</w:t>
            </w:r>
          </w:p>
        </w:tc>
      </w:tr>
    </w:tbl>
    <w:p w:rsidR="00423DD6" w:rsidRDefault="00423DD6">
      <w:pPr>
        <w:autoSpaceDE w:val="0"/>
        <w:autoSpaceDN w:val="0"/>
        <w:adjustRightInd w:val="0"/>
        <w:spacing w:after="0" w:line="240" w:lineRule="auto"/>
        <w:rPr>
          <w:rFonts w:cs="ArialMT"/>
          <w:color w:val="000000"/>
          <w:sz w:val="16"/>
        </w:rPr>
      </w:pPr>
    </w:p>
    <w:p w:rsidR="00423DD6" w:rsidRDefault="003C5418">
      <w:pPr>
        <w:autoSpaceDE w:val="0"/>
        <w:autoSpaceDN w:val="0"/>
        <w:adjustRightInd w:val="0"/>
        <w:spacing w:after="0" w:line="240" w:lineRule="auto"/>
        <w:rPr>
          <w:rFonts w:cs="Helvetica-Bold"/>
          <w:b/>
          <w:color w:val="FFFFFF"/>
          <w:sz w:val="16"/>
        </w:rPr>
      </w:pPr>
      <w:r>
        <w:rPr>
          <w:rFonts w:cs="ArialMT"/>
          <w:color w:val="000000"/>
          <w:sz w:val="16"/>
        </w:rPr>
        <w:t>Messages reach the insurance broker legally during office hours Mo. - Fr. 9 am – 3 pm. Any declarations made by the customer are made at the customer's risk and the customer bears the risk in communication, especially in the context of electronic communica</w:t>
      </w:r>
      <w:r>
        <w:rPr>
          <w:rFonts w:cs="ArialMT"/>
          <w:color w:val="000000"/>
          <w:sz w:val="16"/>
        </w:rPr>
        <w:t>tion. In case of doubt, the customer is required to request access to his statement by telephone.</w:t>
      </w:r>
    </w:p>
    <w:p w:rsidR="00423DD6" w:rsidRDefault="003C5418">
      <w:pPr>
        <w:pStyle w:val="Intestazione"/>
        <w:rPr>
          <w:sz w:val="16"/>
        </w:rPr>
      </w:pPr>
      <w:r>
        <w:rPr>
          <w:rFonts w:cs="Helvetica-Bold"/>
          <w:b/>
          <w:color w:val="000000"/>
          <w:sz w:val="16"/>
        </w:rPr>
        <w:t xml:space="preserve">Data processing: </w:t>
      </w:r>
      <w:r>
        <w:rPr>
          <w:rFonts w:cs="ArialMT"/>
          <w:color w:val="000000"/>
          <w:sz w:val="16"/>
        </w:rPr>
        <w:t>The insurance customer acknowledges that the personal data disclosed by him in the context</w:t>
      </w:r>
      <w:r>
        <w:rPr>
          <w:rFonts w:cs="Helvetica-Bold"/>
          <w:b/>
          <w:color w:val="FFFFFF"/>
          <w:sz w:val="16"/>
        </w:rPr>
        <w:t xml:space="preserve"> </w:t>
      </w:r>
      <w:r>
        <w:rPr>
          <w:rFonts w:cs="ArialMT"/>
          <w:color w:val="000000"/>
          <w:sz w:val="16"/>
        </w:rPr>
        <w:t>of order fulfillment are processed automatically b</w:t>
      </w:r>
      <w:r>
        <w:rPr>
          <w:rFonts w:cs="ArialMT"/>
          <w:color w:val="000000"/>
          <w:sz w:val="16"/>
        </w:rPr>
        <w:t>y</w:t>
      </w:r>
      <w:r>
        <w:rPr>
          <w:rFonts w:cs="Helvetica-Bold"/>
          <w:b/>
          <w:color w:val="FFFFFF"/>
          <w:sz w:val="16"/>
        </w:rPr>
        <w:t xml:space="preserve"> </w:t>
      </w:r>
      <w:r>
        <w:rPr>
          <w:rFonts w:cs="ArialMT"/>
          <w:color w:val="000000"/>
          <w:sz w:val="16"/>
        </w:rPr>
        <w:t>insurance brokers. These data will only be passed on to third parties in compliance with the</w:t>
      </w:r>
      <w:r>
        <w:rPr>
          <w:rFonts w:cs="Helvetica-Bold"/>
          <w:b/>
          <w:color w:val="FFFFFF"/>
          <w:sz w:val="16"/>
        </w:rPr>
        <w:t xml:space="preserve"> </w:t>
      </w:r>
      <w:r>
        <w:rPr>
          <w:rFonts w:cs="ArialMT"/>
          <w:color w:val="000000"/>
          <w:sz w:val="16"/>
        </w:rPr>
        <w:t>contractual obligation. |||UNTRANSLATED_CONTENT_START|||Der Versicherungskunde wurde darüber</w:t>
      </w:r>
      <w:r>
        <w:rPr>
          <w:rFonts w:cs="Helvetica-Bold"/>
          <w:b/>
          <w:color w:val="FFFFFF"/>
          <w:sz w:val="16"/>
        </w:rPr>
        <w:t xml:space="preserve"> </w:t>
      </w:r>
      <w:r>
        <w:rPr>
          <w:rFonts w:cs="ArialMT"/>
          <w:color w:val="000000"/>
          <w:sz w:val="16"/>
        </w:rPr>
        <w:t>aufgeklärt, dass er ein jederzeitiges Recht auf Auskunft und auf Lös</w:t>
      </w:r>
      <w:r>
        <w:rPr>
          <w:rFonts w:cs="ArialMT"/>
          <w:color w:val="000000"/>
          <w:sz w:val="16"/>
        </w:rPr>
        <w:t>chung seiner</w:t>
      </w:r>
      <w:r>
        <w:rPr>
          <w:rFonts w:cs="Helvetica-Bold"/>
          <w:b/>
          <w:color w:val="FFFFFF"/>
          <w:sz w:val="16"/>
        </w:rPr>
        <w:t xml:space="preserve"> </w:t>
      </w:r>
      <w:r>
        <w:rPr>
          <w:rFonts w:cs="ArialMT"/>
          <w:color w:val="000000"/>
          <w:sz w:val="16"/>
        </w:rPr>
        <w:t>personenbezogenen Daten hat.|||UNTRANSLATED_CONTENT_END||| |||UNTRANSLATED_CONTENT_START|||Ein datenschutzrechtliches Auskunftsbegehren ist, unter</w:t>
      </w:r>
      <w:r>
        <w:rPr>
          <w:rFonts w:cs="Helvetica-Bold"/>
          <w:b/>
          <w:color w:val="FFFFFF"/>
          <w:sz w:val="16"/>
        </w:rPr>
        <w:t xml:space="preserve"> </w:t>
      </w:r>
      <w:r>
        <w:rPr>
          <w:rFonts w:cs="ArialMT"/>
          <w:color w:val="000000"/>
          <w:sz w:val="16"/>
        </w:rPr>
        <w:t>Beilegung eines Identitätsnachweises, an die eMail-Adresse bzw Post-Adresse [</w:t>
      </w:r>
      <w:r>
        <w:rPr>
          <w:sz w:val="16"/>
        </w:rPr>
        <w:t xml:space="preserve">Email: </w:t>
      </w:r>
      <w:hyperlink r:id="rId8" w:history="1">
        <w:r>
          <w:rPr>
            <w:sz w:val="16"/>
          </w:rPr>
          <w:t>office@vbk.co.at/</w:t>
        </w:r>
      </w:hyperlink>
      <w:r>
        <w:rPr>
          <w:sz w:val="16"/>
        </w:rPr>
        <w:t xml:space="preserve"> Wagramerstr.|||UNTRANSLATED_CONTENT_END||| 25/3/2, 1220 Vienna]</w:t>
      </w:r>
      <w:r>
        <w:rPr>
          <w:rFonts w:cs="ArialMT"/>
          <w:color w:val="000000"/>
          <w:sz w:val="16"/>
        </w:rPr>
        <w:t xml:space="preserve">   </w:t>
      </w:r>
      <w:r>
        <w:rPr>
          <w:sz w:val="16"/>
        </w:rPr>
        <w:t xml:space="preserve"> </w:t>
      </w:r>
      <w:r>
        <w:rPr>
          <w:rFonts w:cs="Helvetica-Bold"/>
          <w:b/>
          <w:color w:val="FFFFFF"/>
          <w:sz w:val="16"/>
        </w:rPr>
        <w:t xml:space="preserve"> </w:t>
      </w:r>
      <w:r>
        <w:rPr>
          <w:rFonts w:cs="ArialMT"/>
          <w:color w:val="000000"/>
          <w:sz w:val="16"/>
        </w:rPr>
        <w:t>.</w:t>
      </w:r>
    </w:p>
    <w:p w:rsidR="00423DD6" w:rsidRDefault="003C5418">
      <w:pPr>
        <w:autoSpaceDE w:val="0"/>
        <w:autoSpaceDN w:val="0"/>
        <w:adjustRightInd w:val="0"/>
        <w:spacing w:after="0" w:line="240" w:lineRule="auto"/>
        <w:rPr>
          <w:rFonts w:cs="ArialMT"/>
          <w:color w:val="000000"/>
          <w:sz w:val="16"/>
        </w:rPr>
      </w:pPr>
      <w:r>
        <w:rPr>
          <w:rFonts w:cs="Helvetica-Bold"/>
          <w:b/>
          <w:color w:val="000000"/>
          <w:sz w:val="16"/>
        </w:rPr>
        <w:t xml:space="preserve">Communication: </w:t>
      </w:r>
      <w:r>
        <w:rPr>
          <w:rFonts w:cs="ArialMT"/>
          <w:color w:val="000000"/>
          <w:sz w:val="16"/>
        </w:rPr>
        <w:t xml:space="preserve"> The insurance customer agrees that the insurance broker specified above is entitled to contact them for information and </w:t>
      </w:r>
      <w:r>
        <w:rPr>
          <w:rFonts w:cs="ArialMT"/>
          <w:color w:val="000000"/>
          <w:sz w:val="16"/>
        </w:rPr>
        <w:t>advertising purposes by fax, email, telephone, and SMS in accordance with § 107 Telecommunications Act 2003.</w:t>
      </w:r>
    </w:p>
    <w:p w:rsidR="00423DD6" w:rsidRDefault="00423DD6">
      <w:pPr>
        <w:autoSpaceDE w:val="0"/>
        <w:autoSpaceDN w:val="0"/>
        <w:adjustRightInd w:val="0"/>
        <w:spacing w:after="0" w:line="240" w:lineRule="auto"/>
        <w:rPr>
          <w:rFonts w:cs="Helvetica-Bold"/>
          <w:b/>
          <w:color w:val="000000"/>
          <w:sz w:val="10"/>
        </w:rPr>
      </w:pPr>
    </w:p>
    <w:p w:rsidR="00423DD6" w:rsidRDefault="003C5418">
      <w:pPr>
        <w:autoSpaceDE w:val="0"/>
        <w:autoSpaceDN w:val="0"/>
        <w:adjustRightInd w:val="0"/>
        <w:spacing w:after="0" w:line="240" w:lineRule="auto"/>
        <w:rPr>
          <w:rFonts w:cs="Helvetica-Bold"/>
          <w:b/>
          <w:color w:val="FFFFFF"/>
        </w:rPr>
      </w:pPr>
      <w:r>
        <w:rPr>
          <w:rFonts w:cs="Helvetica-Bold"/>
          <w:b/>
          <w:color w:val="000000"/>
          <w:sz w:val="24"/>
        </w:rPr>
        <w:t>Documents issued</w:t>
      </w:r>
      <w:r>
        <w:rPr>
          <w:rFonts w:cs="Helvetica-Bold"/>
          <w:b/>
          <w:color w:val="FFFFFF"/>
          <w:sz w:val="24"/>
        </w:rPr>
        <w:t xml:space="preserve"> from</w:t>
      </w:r>
      <w:r>
        <w:rPr>
          <w:rFonts w:cs="Helvetica-Bold"/>
          <w:b/>
          <w:color w:val="FFFFFF"/>
        </w:rPr>
        <w:t xml:space="preserve"> Documents:</w:t>
      </w:r>
    </w:p>
    <w:tbl>
      <w:tblPr>
        <w:tblStyle w:val="Grigliatabella"/>
        <w:tblpPr w:leftFromText="141" w:rightFromText="141" w:vertAnchor="text" w:horzAnchor="margin" w:tblpY="75"/>
        <w:tblW w:w="10614" w:type="dxa"/>
        <w:tblLook w:val="04A0" w:firstRow="1" w:lastRow="0" w:firstColumn="1" w:lastColumn="0" w:noHBand="0" w:noVBand="1"/>
      </w:tblPr>
      <w:tblGrid>
        <w:gridCol w:w="10614"/>
      </w:tblGrid>
      <w:tr w:rsidR="00423DD6">
        <w:trPr>
          <w:trHeight w:val="177"/>
        </w:trPr>
        <w:tc>
          <w:tcPr>
            <w:tcW w:w="10614" w:type="dxa"/>
          </w:tcPr>
          <w:p w:rsidR="00423DD6" w:rsidRDefault="003C5418">
            <w:pPr>
              <w:autoSpaceDE w:val="0"/>
              <w:autoSpaceDN w:val="0"/>
              <w:adjustRightInd w:val="0"/>
              <w:rPr>
                <w:rFonts w:cs="ArialMT"/>
                <w:color w:val="000000"/>
                <w:sz w:val="18"/>
              </w:rPr>
            </w:pPr>
            <w:r>
              <w:rPr>
                <w:rFonts w:cs="Arial-BoldMT"/>
                <w:b/>
                <w:sz w:val="18"/>
              </w:rPr>
              <w:sym w:font="Wingdings" w:char="F0A8"/>
            </w:r>
            <w:r>
              <w:rPr>
                <w:rFonts w:cs="Arial-BoldMT"/>
                <w:b/>
                <w:sz w:val="18"/>
              </w:rPr>
              <w:t xml:space="preserve"> </w:t>
            </w:r>
            <w:r>
              <w:rPr>
                <w:rFonts w:cs="ArialMT"/>
                <w:color w:val="000000"/>
                <w:sz w:val="18"/>
              </w:rPr>
              <w:t>Power of attorney for insurance brokers and consultants in insurance matters / insurance broker contract</w:t>
            </w:r>
          </w:p>
          <w:p w:rsidR="00423DD6" w:rsidRDefault="003C5418">
            <w:pPr>
              <w:autoSpaceDE w:val="0"/>
              <w:autoSpaceDN w:val="0"/>
              <w:adjustRightInd w:val="0"/>
              <w:rPr>
                <w:rFonts w:cs="ArialMT"/>
                <w:color w:val="000000"/>
                <w:sz w:val="18"/>
              </w:rPr>
            </w:pPr>
            <w:r>
              <w:rPr>
                <w:rFonts w:cs="Arial-BoldMT"/>
                <w:b/>
                <w:sz w:val="18"/>
              </w:rPr>
              <w:sym w:font="Wingdings" w:char="F0A8"/>
            </w:r>
            <w:r>
              <w:rPr>
                <w:rFonts w:cs="Arial-BoldMT"/>
                <w:b/>
                <w:sz w:val="18"/>
              </w:rPr>
              <w:t xml:space="preserve"> </w:t>
            </w:r>
            <w:r>
              <w:rPr>
                <w:rFonts w:cs="ArialMT"/>
                <w:color w:val="000000"/>
                <w:sz w:val="18"/>
              </w:rPr>
              <w:t xml:space="preserve">General Terms and Conditions of Austrian Insurance Brokers / </w:t>
            </w:r>
            <w:r>
              <w:rPr>
                <w:rFonts w:cs="Arial-BoldMT"/>
                <w:b/>
                <w:sz w:val="18"/>
              </w:rPr>
              <w:sym w:font="Wingdings" w:char="F0A8"/>
            </w:r>
            <w:r>
              <w:rPr>
                <w:rFonts w:cs="Arial-BoldMT"/>
                <w:b/>
                <w:sz w:val="18"/>
              </w:rPr>
              <w:t xml:space="preserve"> </w:t>
            </w:r>
            <w:r>
              <w:rPr>
                <w:rFonts w:cs="ArialMT"/>
                <w:color w:val="000000"/>
                <w:sz w:val="18"/>
              </w:rPr>
              <w:t>Protocol of order placement</w:t>
            </w:r>
          </w:p>
          <w:p w:rsidR="00423DD6" w:rsidRDefault="003C5418">
            <w:pPr>
              <w:autoSpaceDE w:val="0"/>
              <w:autoSpaceDN w:val="0"/>
              <w:adjustRightInd w:val="0"/>
              <w:rPr>
                <w:rFonts w:cs="ArialMT"/>
                <w:color w:val="000000"/>
                <w:sz w:val="18"/>
              </w:rPr>
            </w:pPr>
            <w:r>
              <w:rPr>
                <w:rFonts w:cs="Arial-BoldMT"/>
                <w:b/>
                <w:sz w:val="18"/>
              </w:rPr>
              <w:sym w:font="Wingdings" w:char="F0A8"/>
            </w:r>
            <w:r>
              <w:rPr>
                <w:rFonts w:cs="Arial-BoldMT"/>
                <w:b/>
                <w:sz w:val="18"/>
              </w:rPr>
              <w:t xml:space="preserve"> </w:t>
            </w:r>
            <w:r>
              <w:rPr>
                <w:rFonts w:cs="ArialMT"/>
                <w:color w:val="000000"/>
                <w:sz w:val="18"/>
              </w:rPr>
              <w:t xml:space="preserve">Risk list / </w:t>
            </w:r>
            <w:r>
              <w:rPr>
                <w:rFonts w:cs="Arial-BoldMT"/>
                <w:b/>
                <w:sz w:val="18"/>
              </w:rPr>
              <w:sym w:font="Wingdings" w:char="F0A8"/>
            </w:r>
            <w:r>
              <w:rPr>
                <w:rFonts w:cs="Arial-BoldMT"/>
                <w:b/>
                <w:sz w:val="18"/>
              </w:rPr>
              <w:t xml:space="preserve"> </w:t>
            </w:r>
            <w:r>
              <w:rPr>
                <w:rFonts w:cs="ArialMT"/>
                <w:color w:val="000000"/>
                <w:sz w:val="18"/>
              </w:rPr>
              <w:t xml:space="preserve">Consulting protocol / </w:t>
            </w:r>
            <w:r>
              <w:rPr>
                <w:rFonts w:cs="Arial-BoldMT"/>
                <w:b/>
                <w:sz w:val="18"/>
              </w:rPr>
              <w:sym w:font="Wingdings" w:char="F0A8"/>
            </w:r>
            <w:r>
              <w:rPr>
                <w:rFonts w:cs="Arial-BoldMT"/>
                <w:b/>
                <w:sz w:val="18"/>
              </w:rPr>
              <w:t xml:space="preserve"> </w:t>
            </w:r>
            <w:r>
              <w:rPr>
                <w:rFonts w:cs="ArialMT"/>
                <w:color w:val="000000"/>
                <w:sz w:val="18"/>
              </w:rPr>
              <w:t>IPID standardised information sheet (Art. 20 para. 5 IDD, VO to IPID)</w:t>
            </w:r>
          </w:p>
        </w:tc>
      </w:tr>
    </w:tbl>
    <w:p w:rsidR="00423DD6" w:rsidRDefault="003C5418">
      <w:pPr>
        <w:autoSpaceDE w:val="0"/>
        <w:autoSpaceDN w:val="0"/>
        <w:adjustRightInd w:val="0"/>
        <w:spacing w:after="0" w:line="240" w:lineRule="auto"/>
        <w:rPr>
          <w:rFonts w:cs="Helvetica-Bold"/>
          <w:b/>
          <w:color w:val="000000"/>
          <w:sz w:val="20"/>
        </w:rPr>
      </w:pPr>
      <w:r>
        <w:rPr>
          <w:rFonts w:cs="Helvetica-Bold"/>
          <w:b/>
          <w:color w:val="000000"/>
          <w:sz w:val="20"/>
        </w:rPr>
        <w:t>The basis of the assignment has been laid down and exp</w:t>
      </w:r>
      <w:r>
        <w:rPr>
          <w:rFonts w:cs="Helvetica-Bold"/>
          <w:b/>
          <w:color w:val="000000"/>
          <w:sz w:val="20"/>
        </w:rPr>
        <w:t>ressly acknowledged.</w:t>
      </w:r>
    </w:p>
    <w:p w:rsidR="00423DD6" w:rsidRDefault="003C5418">
      <w:pPr>
        <w:autoSpaceDE w:val="0"/>
        <w:autoSpaceDN w:val="0"/>
        <w:adjustRightInd w:val="0"/>
        <w:spacing w:after="0" w:line="240" w:lineRule="auto"/>
        <w:rPr>
          <w:rFonts w:cs="ArialMT"/>
          <w:color w:val="000000"/>
        </w:rPr>
      </w:pPr>
      <w:r>
        <w:rPr>
          <w:rFonts w:cs="Helvetica-Bold"/>
          <w:b/>
          <w:color w:val="000000"/>
        </w:rPr>
        <w:t>Consultation period</w:t>
      </w:r>
      <w:r>
        <w:rPr>
          <w:rFonts w:cs="ArialMT"/>
          <w:color w:val="000000"/>
        </w:rPr>
        <w:t>: ______________</w:t>
      </w:r>
    </w:p>
    <w:p w:rsidR="00423DD6" w:rsidRDefault="00423DD6">
      <w:pPr>
        <w:autoSpaceDE w:val="0"/>
        <w:autoSpaceDN w:val="0"/>
        <w:adjustRightInd w:val="0"/>
        <w:spacing w:after="0" w:line="240" w:lineRule="auto"/>
        <w:rPr>
          <w:rFonts w:cs="ArialMT"/>
          <w:color w:val="000000"/>
        </w:rPr>
      </w:pPr>
    </w:p>
    <w:p w:rsidR="00423DD6" w:rsidRDefault="00423DD6">
      <w:pPr>
        <w:autoSpaceDE w:val="0"/>
        <w:autoSpaceDN w:val="0"/>
        <w:adjustRightInd w:val="0"/>
        <w:spacing w:after="0" w:line="240" w:lineRule="auto"/>
        <w:rPr>
          <w:rFonts w:cs="ArialMT"/>
          <w:color w:val="000000"/>
        </w:rPr>
      </w:pPr>
      <w:bookmarkStart w:id="0" w:name="_GoBack"/>
    </w:p>
    <w:bookmarkEnd w:id="0"/>
    <w:p w:rsidR="00423DD6" w:rsidRDefault="003C5418">
      <w:pPr>
        <w:autoSpaceDE w:val="0"/>
        <w:autoSpaceDN w:val="0"/>
        <w:adjustRightInd w:val="0"/>
        <w:spacing w:after="0" w:line="240" w:lineRule="auto"/>
        <w:rPr>
          <w:rFonts w:cs="ArialMT"/>
          <w:color w:val="000000"/>
        </w:rPr>
      </w:pPr>
      <w:r>
        <w:rPr>
          <w:rFonts w:cs="ArialMT"/>
          <w:color w:val="000000"/>
        </w:rPr>
        <w:t>________________________________   _____________________</w:t>
      </w:r>
    </w:p>
    <w:p w:rsidR="00423DD6" w:rsidRDefault="003C5418">
      <w:pPr>
        <w:autoSpaceDE w:val="0"/>
        <w:autoSpaceDN w:val="0"/>
        <w:adjustRightInd w:val="0"/>
        <w:spacing w:after="0" w:line="240" w:lineRule="auto"/>
        <w:rPr>
          <w:rFonts w:cs="ArialMT"/>
          <w:color w:val="000000"/>
        </w:rPr>
      </w:pPr>
      <w:r>
        <w:rPr>
          <w:rFonts w:cs="ArialMT"/>
          <w:color w:val="000000"/>
        </w:rPr>
        <w:t xml:space="preserve"> Place, date</w:t>
      </w:r>
      <w:r>
        <w:rPr>
          <w:rFonts w:cs="ArialMT"/>
          <w:color w:val="000000"/>
        </w:rPr>
        <w:tab/>
      </w:r>
      <w:r>
        <w:rPr>
          <w:rFonts w:cs="ArialMT"/>
          <w:color w:val="000000"/>
        </w:rPr>
        <w:tab/>
      </w:r>
      <w:r>
        <w:rPr>
          <w:rFonts w:cs="ArialMT"/>
          <w:color w:val="000000"/>
        </w:rPr>
        <w:tab/>
      </w:r>
      <w:r>
        <w:rPr>
          <w:rFonts w:cs="ArialMT"/>
          <w:color w:val="000000"/>
        </w:rPr>
        <w:tab/>
      </w:r>
      <w:r>
        <w:rPr>
          <w:rFonts w:cs="ArialMT"/>
          <w:color w:val="000000"/>
        </w:rPr>
        <w:tab/>
        <w:t xml:space="preserve">    Insurance broker                                  Insurance customer</w:t>
      </w:r>
    </w:p>
    <w:sectPr w:rsidR="00423DD6">
      <w:headerReference w:type="default" r:id="rId9"/>
      <w:footerReference w:type="default" r:id="rId10"/>
      <w:pgSz w:w="11906" w:h="16838"/>
      <w:pgMar w:top="720" w:right="720" w:bottom="720" w:left="72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DD6" w:rsidRDefault="003C5418">
      <w:pPr>
        <w:spacing w:after="0" w:line="240" w:lineRule="auto"/>
      </w:pPr>
      <w:r>
        <w:separator/>
      </w:r>
    </w:p>
  </w:endnote>
  <w:endnote w:type="continuationSeparator" w:id="0">
    <w:p w:rsidR="00423DD6" w:rsidRDefault="003C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D6" w:rsidRDefault="003C5418">
    <w:pPr>
      <w:pStyle w:val="Pidipagina"/>
      <w:jc w:val="center"/>
      <w:rPr>
        <w:sz w:val="18"/>
      </w:rPr>
    </w:pPr>
    <w:r>
      <w:rPr>
        <w:sz w:val="18"/>
      </w:rPr>
      <w:t>Tel.: +43 1774 66 33  - Fax: +43 1774 66 44  -  Email: office@vbk.co.at</w:t>
    </w:r>
  </w:p>
  <w:p w:rsidR="00423DD6" w:rsidRDefault="003C5418">
    <w:pPr>
      <w:pStyle w:val="Pidipagina"/>
      <w:rPr>
        <w:rFonts w:cs="Arial"/>
        <w:sz w:val="18"/>
      </w:rPr>
    </w:pPr>
    <w:r>
      <w:rPr>
        <w:rFonts w:cs="Arial"/>
        <w:sz w:val="18"/>
      </w:rPr>
      <w:t xml:space="preserve">                                               FN 264039v    Intermediary register:  990/100888R22, IBAN:  AT94 4300 0454 0182 1009</w:t>
    </w:r>
  </w:p>
  <w:p w:rsidR="00423DD6" w:rsidRDefault="00423DD6">
    <w:pPr>
      <w:pStyle w:val="Pidipagina"/>
      <w:jc w:val="center"/>
      <w:rPr>
        <w:sz w:val="18"/>
      </w:rPr>
    </w:pPr>
  </w:p>
  <w:p w:rsidR="00423DD6" w:rsidRDefault="00423DD6">
    <w:pPr>
      <w:pStyle w:val="Pidipa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DD6" w:rsidRDefault="003C5418">
      <w:pPr>
        <w:spacing w:after="0" w:line="240" w:lineRule="auto"/>
      </w:pPr>
      <w:r>
        <w:separator/>
      </w:r>
    </w:p>
  </w:footnote>
  <w:footnote w:type="continuationSeparator" w:id="0">
    <w:p w:rsidR="00423DD6" w:rsidRDefault="003C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D6" w:rsidRDefault="003C5418">
    <w:pPr>
      <w:pStyle w:val="Intestazione"/>
      <w:rPr>
        <w:b/>
        <w:sz w:val="18"/>
      </w:rPr>
    </w:pPr>
    <w:r>
      <w:rPr>
        <w:b/>
        <w:noProof/>
        <w:sz w:val="18"/>
      </w:rPr>
      <w:drawing>
        <wp:anchor distT="0" distB="0" distL="114300" distR="114300" simplePos="0" relativeHeight="251659264" behindDoc="1" locked="0" layoutInCell="1" allowOverlap="1" wp14:anchorId="605CF8C3" wp14:editId="69C04B7F">
          <wp:simplePos x="0" y="0"/>
          <wp:positionH relativeFrom="column">
            <wp:posOffset>4105276</wp:posOffset>
          </wp:positionH>
          <wp:positionV relativeFrom="paragraph">
            <wp:posOffset>-217170</wp:posOffset>
          </wp:positionV>
          <wp:extent cx="2641648" cy="738816"/>
          <wp:effectExtent l="0" t="0" r="6350" b="4445"/>
          <wp:wrapNone/>
          <wp:docPr id="2" name="Grafik 2" descr="v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642" cy="74161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rPr>
      <w:t xml:space="preserve">Insurance broker: VbK Versicherungsservice GmbH </w:t>
    </w:r>
  </w:p>
  <w:p w:rsidR="00423DD6" w:rsidRPr="003C5418" w:rsidRDefault="003C5418">
    <w:pPr>
      <w:pStyle w:val="Intestazione"/>
      <w:rPr>
        <w:sz w:val="18"/>
        <w:lang w:val="fr-FR"/>
      </w:rPr>
    </w:pPr>
    <w:r>
      <w:rPr>
        <w:sz w:val="18"/>
      </w:rPr>
      <w:t xml:space="preserve">Wagramerstr. </w:t>
    </w:r>
    <w:r w:rsidRPr="003C5418">
      <w:rPr>
        <w:sz w:val="18"/>
        <w:lang w:val="fr-FR"/>
      </w:rPr>
      <w:t>25/3/2, 1220 Vienna</w:t>
    </w:r>
  </w:p>
  <w:p w:rsidR="00423DD6" w:rsidRPr="003C5418" w:rsidRDefault="003C5418">
    <w:pPr>
      <w:pStyle w:val="Intestazione"/>
      <w:rPr>
        <w:sz w:val="18"/>
        <w:lang w:val="fr-FR"/>
      </w:rPr>
    </w:pPr>
    <w:r w:rsidRPr="003C5418">
      <w:rPr>
        <w:sz w:val="18"/>
        <w:lang w:val="fr-FR"/>
      </w:rPr>
      <w:t>Tel</w:t>
    </w:r>
    <w:proofErr w:type="gramStart"/>
    <w:r w:rsidRPr="003C5418">
      <w:rPr>
        <w:sz w:val="18"/>
        <w:lang w:val="fr-FR"/>
      </w:rPr>
      <w:t>.:</w:t>
    </w:r>
    <w:proofErr w:type="gramEnd"/>
    <w:r w:rsidRPr="003C5418">
      <w:rPr>
        <w:sz w:val="18"/>
        <w:lang w:val="fr-FR"/>
      </w:rPr>
      <w:t xml:space="preserve"> +43 1774 66 33  -  Fax: +43 1774 66 44  -  Email: office@vbk.co.at</w:t>
    </w:r>
  </w:p>
  <w:p w:rsidR="00423DD6" w:rsidRPr="003C5418" w:rsidRDefault="00423DD6">
    <w:pPr>
      <w:pStyle w:val="Intestazion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BA3"/>
    <w:multiLevelType w:val="hybridMultilevel"/>
    <w:tmpl w:val="4072C8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0D4"/>
    <w:rsid w:val="0003794B"/>
    <w:rsid w:val="000550D4"/>
    <w:rsid w:val="0008122D"/>
    <w:rsid w:val="00190EF7"/>
    <w:rsid w:val="00193BA5"/>
    <w:rsid w:val="0020274C"/>
    <w:rsid w:val="003C13D6"/>
    <w:rsid w:val="003C5418"/>
    <w:rsid w:val="00412064"/>
    <w:rsid w:val="00423DD6"/>
    <w:rsid w:val="004B5A97"/>
    <w:rsid w:val="004D0F59"/>
    <w:rsid w:val="004E067B"/>
    <w:rsid w:val="00532E04"/>
    <w:rsid w:val="00542329"/>
    <w:rsid w:val="0054672F"/>
    <w:rsid w:val="00602206"/>
    <w:rsid w:val="007065B7"/>
    <w:rsid w:val="0080282C"/>
    <w:rsid w:val="00834EC6"/>
    <w:rsid w:val="00907306"/>
    <w:rsid w:val="009254A2"/>
    <w:rsid w:val="00A21CD5"/>
    <w:rsid w:val="00B176B9"/>
    <w:rsid w:val="00B57CD6"/>
    <w:rsid w:val="00B81D12"/>
    <w:rsid w:val="00CB034B"/>
    <w:rsid w:val="00D77C44"/>
    <w:rsid w:val="00E826D3"/>
    <w:rsid w:val="00EE0103"/>
    <w:rsid w:val="00F076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B1C5B9-B333-47E8-B0CA-7550AC0A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50D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550D4"/>
  </w:style>
  <w:style w:type="paragraph" w:styleId="Pidipagina">
    <w:name w:val="footer"/>
    <w:basedOn w:val="Normale"/>
    <w:link w:val="PidipaginaCarattere"/>
    <w:uiPriority w:val="99"/>
    <w:unhideWhenUsed/>
    <w:rsid w:val="000550D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550D4"/>
  </w:style>
  <w:style w:type="character" w:styleId="Collegamentoipertestuale">
    <w:name w:val="Hyperlink"/>
    <w:basedOn w:val="Carpredefinitoparagrafo"/>
    <w:uiPriority w:val="99"/>
    <w:unhideWhenUsed/>
    <w:rsid w:val="000550D4"/>
    <w:rPr>
      <w:color w:val="0000FF" w:themeColor="hyperlink"/>
      <w:u w:val="single"/>
    </w:rPr>
  </w:style>
  <w:style w:type="table" w:styleId="Grigliatabella">
    <w:name w:val="Table Grid"/>
    <w:basedOn w:val="Tabellanormale"/>
    <w:uiPriority w:val="59"/>
    <w:rsid w:val="00B1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E0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vbk.co.at%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0C34-D737-464A-AA42-27FFD063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SVBK</dc:creator>
  <cp:lastModifiedBy>Noemi</cp:lastModifiedBy>
  <cp:revision>10</cp:revision>
  <cp:lastPrinted>2017-11-22T12:03:00Z</cp:lastPrinted>
  <dcterms:created xsi:type="dcterms:W3CDTF">2017-11-21T11:52:00Z</dcterms:created>
  <dcterms:modified xsi:type="dcterms:W3CDTF">2018-08-08T15:05:00Z</dcterms:modified>
</cp:coreProperties>
</file>